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5BA69" w14:textId="41279C6E" w:rsidR="00953E06" w:rsidRPr="0002348C" w:rsidRDefault="00953E06" w:rsidP="00953E06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02348C">
        <w:rPr>
          <w:rFonts w:asciiTheme="minorHAnsi" w:hAnsiTheme="minorHAnsi" w:cstheme="minorHAnsi"/>
          <w:b/>
          <w:sz w:val="28"/>
          <w:szCs w:val="28"/>
          <w:lang w:val="pl-PL"/>
        </w:rPr>
        <w:t xml:space="preserve">Streszczenie informacji dla uczestnika </w:t>
      </w:r>
    </w:p>
    <w:p w14:paraId="1E0D3322" w14:textId="5E091E0F" w:rsidR="00C463BD" w:rsidRPr="0002348C" w:rsidRDefault="00953E06" w:rsidP="00C463BD">
      <w:pPr>
        <w:pStyle w:val="NoSpacing"/>
        <w:jc w:val="both"/>
        <w:rPr>
          <w:b/>
          <w:u w:val="single"/>
          <w:lang w:val="pl-PL"/>
        </w:rPr>
      </w:pPr>
      <w:r w:rsidRPr="0002348C">
        <w:rPr>
          <w:b/>
          <w:u w:val="single"/>
          <w:lang w:val="pl-PL"/>
        </w:rPr>
        <w:t>Cel</w:t>
      </w:r>
      <w:bookmarkStart w:id="0" w:name="_GoBack"/>
      <w:bookmarkEnd w:id="0"/>
    </w:p>
    <w:p w14:paraId="22644B5B" w14:textId="19B47134" w:rsidR="00953E06" w:rsidRPr="0002348C" w:rsidRDefault="00953E06" w:rsidP="00C463BD">
      <w:pPr>
        <w:pStyle w:val="NoSpacing"/>
        <w:jc w:val="both"/>
        <w:rPr>
          <w:lang w:val="pl-PL"/>
        </w:rPr>
      </w:pPr>
      <w:r w:rsidRPr="0002348C">
        <w:rPr>
          <w:lang w:val="pl-PL"/>
        </w:rPr>
        <w:t xml:space="preserve">Niniejszy arkusz jest streszczeniem informacji udzielanych pacjentowi, który jest zainteresowany </w:t>
      </w:r>
      <w:r w:rsidR="007D1B41" w:rsidRPr="0002348C">
        <w:rPr>
          <w:lang w:val="pl-PL"/>
        </w:rPr>
        <w:t xml:space="preserve">udziałem w tym badaniu naukowym, aby mógł wyrazić słowną zgodę na uczestnictwo. </w:t>
      </w:r>
    </w:p>
    <w:p w14:paraId="3A67A48B" w14:textId="35203B5E" w:rsidR="007D1B41" w:rsidRPr="0002348C" w:rsidRDefault="007D1B41" w:rsidP="00C463BD">
      <w:pPr>
        <w:pStyle w:val="NoSpacing"/>
        <w:jc w:val="both"/>
        <w:rPr>
          <w:lang w:val="pl-PL"/>
        </w:rPr>
      </w:pPr>
    </w:p>
    <w:p w14:paraId="30925AF1" w14:textId="2D5C5EFE" w:rsidR="007D1B41" w:rsidRPr="0002348C" w:rsidRDefault="007D1B41" w:rsidP="00C463BD">
      <w:pPr>
        <w:pStyle w:val="NoSpacing"/>
        <w:jc w:val="both"/>
        <w:rPr>
          <w:lang w:val="pl-PL"/>
        </w:rPr>
      </w:pPr>
      <w:r w:rsidRPr="0002348C">
        <w:rPr>
          <w:lang w:val="pl-PL"/>
        </w:rPr>
        <w:t xml:space="preserve">Wymaga się, aby udzielenie informacji i odebranie </w:t>
      </w:r>
      <w:r w:rsidR="007E0B01" w:rsidRPr="0002348C">
        <w:rPr>
          <w:lang w:val="pl-PL"/>
        </w:rPr>
        <w:t xml:space="preserve">od pacjenta </w:t>
      </w:r>
      <w:r w:rsidRPr="0002348C">
        <w:rPr>
          <w:lang w:val="pl-PL"/>
        </w:rPr>
        <w:t xml:space="preserve">zgody na udział </w:t>
      </w:r>
      <w:r w:rsidR="007E0B01">
        <w:rPr>
          <w:lang w:val="pl-PL"/>
        </w:rPr>
        <w:t>było poświadczone przez</w:t>
      </w:r>
      <w:r w:rsidRPr="0002348C">
        <w:rPr>
          <w:lang w:val="pl-PL"/>
        </w:rPr>
        <w:t xml:space="preserve"> innego pracownika oddziału ratunkowego. </w:t>
      </w:r>
    </w:p>
    <w:p w14:paraId="0F1461A7" w14:textId="1BF30AED" w:rsidR="007D1B41" w:rsidRPr="0002348C" w:rsidRDefault="007D1B41" w:rsidP="00C463BD">
      <w:pPr>
        <w:pStyle w:val="NoSpacing"/>
        <w:jc w:val="both"/>
        <w:rPr>
          <w:lang w:val="pl-PL"/>
        </w:rPr>
      </w:pPr>
    </w:p>
    <w:p w14:paraId="55F6F5F8" w14:textId="6DC03080" w:rsidR="007D1B41" w:rsidRPr="0002348C" w:rsidRDefault="007D1B41" w:rsidP="00C463BD">
      <w:pPr>
        <w:pStyle w:val="NoSpacing"/>
        <w:jc w:val="both"/>
        <w:rPr>
          <w:lang w:val="pl-PL"/>
        </w:rPr>
      </w:pPr>
      <w:r w:rsidRPr="0002348C">
        <w:rPr>
          <w:lang w:val="pl-PL"/>
        </w:rPr>
        <w:t xml:space="preserve">Jeśli pacjent wyrazi zgodę na udział w badaniu, </w:t>
      </w:r>
      <w:r w:rsidR="00971E9E">
        <w:rPr>
          <w:lang w:val="pl-PL"/>
        </w:rPr>
        <w:t>należy upewnić się, że wypełniono odpowiedni formularz zgody</w:t>
      </w:r>
      <w:r w:rsidR="007E0B01">
        <w:rPr>
          <w:lang w:val="pl-PL"/>
        </w:rPr>
        <w:t>.</w:t>
      </w:r>
    </w:p>
    <w:p w14:paraId="3374F70D" w14:textId="29367CA0" w:rsidR="007D1B41" w:rsidRPr="0002348C" w:rsidRDefault="007D1B41" w:rsidP="00C463BD">
      <w:pPr>
        <w:pStyle w:val="NoSpacing"/>
        <w:jc w:val="both"/>
        <w:rPr>
          <w:lang w:val="pl-PL"/>
        </w:rPr>
      </w:pPr>
    </w:p>
    <w:p w14:paraId="2A57C3DE" w14:textId="719DDD29" w:rsidR="007D1B41" w:rsidRPr="0002348C" w:rsidRDefault="00DE4CA6" w:rsidP="00C463BD">
      <w:pPr>
        <w:pStyle w:val="NoSpacing"/>
        <w:jc w:val="both"/>
        <w:rPr>
          <w:lang w:val="pl-PL"/>
        </w:rPr>
      </w:pPr>
      <w:r w:rsidRPr="0002348C">
        <w:rPr>
          <w:lang w:val="pl-PL"/>
        </w:rPr>
        <w:t>Zapr</w:t>
      </w:r>
      <w:r w:rsidR="007E0B01">
        <w:rPr>
          <w:lang w:val="pl-PL"/>
        </w:rPr>
        <w:t xml:space="preserve">asza się </w:t>
      </w:r>
      <w:r w:rsidRPr="0002348C">
        <w:rPr>
          <w:lang w:val="pl-PL"/>
        </w:rPr>
        <w:t xml:space="preserve">pacjenta do udziału w badaniu mającym na celu ustalić, czy wczesne podanie wazokonstryktora jest lepszą metodą leczenia </w:t>
      </w:r>
      <w:r w:rsidR="007E0B01">
        <w:rPr>
          <w:lang w:val="pl-PL"/>
        </w:rPr>
        <w:t xml:space="preserve">niż </w:t>
      </w:r>
      <w:r w:rsidRPr="0002348C">
        <w:rPr>
          <w:lang w:val="pl-PL"/>
        </w:rPr>
        <w:t xml:space="preserve">obecnie stosowana metoda przy użyciu typowych płynów. </w:t>
      </w:r>
    </w:p>
    <w:p w14:paraId="2A30C22B" w14:textId="2B95B281" w:rsidR="00DE4CA6" w:rsidRPr="0002348C" w:rsidRDefault="00DE4CA6" w:rsidP="00C463BD">
      <w:pPr>
        <w:pStyle w:val="NoSpacing"/>
        <w:jc w:val="both"/>
        <w:rPr>
          <w:lang w:val="pl-PL"/>
        </w:rPr>
      </w:pPr>
    </w:p>
    <w:p w14:paraId="64D825AD" w14:textId="7E861962" w:rsidR="00DE4CA6" w:rsidRPr="0002348C" w:rsidRDefault="00DE4CA6" w:rsidP="00DE4CA6">
      <w:pPr>
        <w:pStyle w:val="NoSpacing"/>
        <w:spacing w:line="276" w:lineRule="auto"/>
        <w:jc w:val="both"/>
        <w:rPr>
          <w:b/>
          <w:u w:val="single"/>
          <w:lang w:val="pl-PL"/>
        </w:rPr>
      </w:pPr>
      <w:r w:rsidRPr="0002348C">
        <w:rPr>
          <w:b/>
          <w:u w:val="single"/>
          <w:lang w:val="pl-PL"/>
        </w:rPr>
        <w:t>Dlaczego wyselekcjonowano pacjenta do udziału w badaniu?</w:t>
      </w:r>
    </w:p>
    <w:p w14:paraId="0D0D1A84" w14:textId="43A0302C" w:rsidR="00DE4CA6" w:rsidRPr="0002348C" w:rsidRDefault="00DE4CA6" w:rsidP="00DE4CA6">
      <w:pPr>
        <w:pStyle w:val="NoSpacing"/>
        <w:numPr>
          <w:ilvl w:val="0"/>
          <w:numId w:val="7"/>
        </w:numPr>
        <w:jc w:val="both"/>
        <w:rPr>
          <w:lang w:val="pl-PL"/>
        </w:rPr>
      </w:pPr>
      <w:r w:rsidRPr="0002348C">
        <w:rPr>
          <w:lang w:val="pl-PL"/>
        </w:rPr>
        <w:t xml:space="preserve">Wybrano </w:t>
      </w:r>
      <w:r w:rsidR="00C13E9B" w:rsidRPr="0002348C">
        <w:rPr>
          <w:lang w:val="pl-PL"/>
        </w:rPr>
        <w:t>pacjenta</w:t>
      </w:r>
      <w:r w:rsidRPr="0002348C">
        <w:rPr>
          <w:lang w:val="pl-PL"/>
        </w:rPr>
        <w:t xml:space="preserve"> do udziału w badaniu, ponieważ stwierdzono u </w:t>
      </w:r>
      <w:r w:rsidR="00C13E9B" w:rsidRPr="0002348C">
        <w:rPr>
          <w:lang w:val="pl-PL"/>
        </w:rPr>
        <w:t xml:space="preserve">niego </w:t>
      </w:r>
      <w:r w:rsidRPr="0002348C">
        <w:rPr>
          <w:lang w:val="pl-PL"/>
        </w:rPr>
        <w:t>objawy zakażenia (sepsy).</w:t>
      </w:r>
    </w:p>
    <w:p w14:paraId="0EFB74A7" w14:textId="25D59E87" w:rsidR="00DE4CA6" w:rsidRPr="0002348C" w:rsidRDefault="00DE4CA6" w:rsidP="00DE4CA6">
      <w:pPr>
        <w:pStyle w:val="NoSpacing"/>
        <w:numPr>
          <w:ilvl w:val="0"/>
          <w:numId w:val="7"/>
        </w:numPr>
        <w:jc w:val="both"/>
        <w:rPr>
          <w:lang w:val="pl-PL"/>
        </w:rPr>
      </w:pPr>
      <w:r w:rsidRPr="0002348C">
        <w:rPr>
          <w:lang w:val="pl-PL"/>
        </w:rPr>
        <w:t xml:space="preserve">Decyzja o przystąpieniu do badania jest dobrowolna.  Udział w badaniu nie </w:t>
      </w:r>
      <w:r w:rsidR="00C13E9B" w:rsidRPr="0002348C">
        <w:rPr>
          <w:lang w:val="pl-PL"/>
        </w:rPr>
        <w:t>jest warunkiem leczenia infekcji. Jeśli pacjent postanowi nie brać udziału w badaniu, otrzyma standardową metodę leczenia.</w:t>
      </w:r>
    </w:p>
    <w:p w14:paraId="7B78418D" w14:textId="77777777" w:rsidR="00C463BD" w:rsidRPr="0002348C" w:rsidRDefault="00C463BD" w:rsidP="00013A28">
      <w:pPr>
        <w:pStyle w:val="NoSpacing"/>
        <w:jc w:val="both"/>
        <w:rPr>
          <w:lang w:val="pl-PL"/>
        </w:rPr>
      </w:pPr>
    </w:p>
    <w:p w14:paraId="128821CC" w14:textId="51B17294" w:rsidR="00C13E9B" w:rsidRPr="0002348C" w:rsidRDefault="00C13E9B" w:rsidP="00C13E9B">
      <w:pPr>
        <w:pStyle w:val="NoSpacing"/>
        <w:spacing w:line="276" w:lineRule="auto"/>
        <w:jc w:val="both"/>
        <w:rPr>
          <w:b/>
          <w:u w:val="single"/>
          <w:lang w:val="pl-PL"/>
        </w:rPr>
      </w:pPr>
      <w:r w:rsidRPr="0002348C">
        <w:rPr>
          <w:b/>
          <w:u w:val="single"/>
          <w:lang w:val="pl-PL"/>
        </w:rPr>
        <w:t>Cel badania</w:t>
      </w:r>
    </w:p>
    <w:p w14:paraId="1F85726E" w14:textId="6A0CE735" w:rsidR="00C13E9B" w:rsidRPr="0002348C" w:rsidRDefault="00C13E9B" w:rsidP="00C13E9B">
      <w:pPr>
        <w:pStyle w:val="NoSpacing"/>
        <w:numPr>
          <w:ilvl w:val="0"/>
          <w:numId w:val="7"/>
        </w:numPr>
        <w:jc w:val="both"/>
        <w:rPr>
          <w:lang w:val="pl-PL"/>
        </w:rPr>
      </w:pPr>
      <w:r w:rsidRPr="0002348C">
        <w:rPr>
          <w:lang w:val="pl-PL"/>
        </w:rPr>
        <w:t>Celem naszego badania jest porównanie dwóch różnych metod leczenia sepsy. Leczenie rutynowe polega na wstępnym podaniu wlewu dożylnego</w:t>
      </w:r>
      <w:r w:rsidR="00757700">
        <w:rPr>
          <w:lang w:val="pl-PL"/>
        </w:rPr>
        <w:t xml:space="preserve"> w ramię</w:t>
      </w:r>
      <w:r w:rsidRPr="0002348C">
        <w:rPr>
          <w:lang w:val="pl-PL"/>
        </w:rPr>
        <w:t>, a dopiero potem podaje się wazokonstryktor. Wazokonstryktory podnoszą ciśnienie krwi, co poprawia przepływ krwi do narządów wewnętrznych. Odmiennym podejściem jest natychmiastowe wprowadzenie wazokonstryktora.</w:t>
      </w:r>
    </w:p>
    <w:p w14:paraId="7280C80D" w14:textId="77777777" w:rsidR="00C463BD" w:rsidRPr="0002348C" w:rsidRDefault="00C463BD" w:rsidP="00013A28">
      <w:pPr>
        <w:pStyle w:val="NoSpacing"/>
        <w:jc w:val="both"/>
        <w:rPr>
          <w:lang w:val="pl-PL"/>
        </w:rPr>
      </w:pPr>
    </w:p>
    <w:p w14:paraId="302AD9A5" w14:textId="77777777" w:rsidR="00C13E9B" w:rsidRPr="0002348C" w:rsidRDefault="00C13E9B" w:rsidP="00C13E9B">
      <w:pPr>
        <w:pStyle w:val="NoSpacing"/>
        <w:spacing w:line="276" w:lineRule="auto"/>
        <w:jc w:val="both"/>
        <w:rPr>
          <w:b/>
          <w:u w:val="single"/>
          <w:lang w:val="pl-PL"/>
        </w:rPr>
      </w:pPr>
      <w:r w:rsidRPr="0002348C">
        <w:rPr>
          <w:b/>
          <w:u w:val="single"/>
          <w:lang w:val="pl-PL"/>
        </w:rPr>
        <w:t>Co się stanie, jeśli wezmę udział w badaniu?</w:t>
      </w:r>
    </w:p>
    <w:p w14:paraId="57F5EF2D" w14:textId="1237707A" w:rsidR="00C13E9B" w:rsidRPr="0002348C" w:rsidRDefault="00A43AED">
      <w:pPr>
        <w:pStyle w:val="NoSpacing"/>
        <w:jc w:val="both"/>
        <w:rPr>
          <w:lang w:val="pl-PL"/>
        </w:rPr>
      </w:pPr>
      <w:r w:rsidRPr="0002348C">
        <w:rPr>
          <w:lang w:val="pl-PL"/>
        </w:rPr>
        <w:t xml:space="preserve">Po podpisaniu zgody, pacjent zostanie </w:t>
      </w:r>
      <w:r w:rsidR="005667B6">
        <w:rPr>
          <w:lang w:val="pl-PL"/>
        </w:rPr>
        <w:t>w procesie randomizacji (</w:t>
      </w:r>
      <w:r w:rsidRPr="0002348C">
        <w:rPr>
          <w:lang w:val="pl-PL"/>
        </w:rPr>
        <w:t>drogą losową</w:t>
      </w:r>
      <w:r w:rsidR="005667B6">
        <w:rPr>
          <w:lang w:val="pl-PL"/>
        </w:rPr>
        <w:t>)</w:t>
      </w:r>
      <w:r w:rsidRPr="0002348C">
        <w:rPr>
          <w:lang w:val="pl-PL"/>
        </w:rPr>
        <w:t xml:space="preserve"> przydzielony do jednej z dwóch grup leczenia.</w:t>
      </w:r>
    </w:p>
    <w:p w14:paraId="756A2411" w14:textId="77777777" w:rsidR="00A43AED" w:rsidRPr="0002348C" w:rsidRDefault="00A43AED">
      <w:pPr>
        <w:pStyle w:val="NoSpacing"/>
        <w:jc w:val="both"/>
        <w:rPr>
          <w:lang w:val="pl-PL"/>
        </w:rPr>
      </w:pPr>
    </w:p>
    <w:p w14:paraId="5434D496" w14:textId="77777777" w:rsidR="00A43AED" w:rsidRPr="0002348C" w:rsidRDefault="00A43AED" w:rsidP="00A43AED">
      <w:pPr>
        <w:pStyle w:val="NoSpacing"/>
        <w:numPr>
          <w:ilvl w:val="0"/>
          <w:numId w:val="7"/>
        </w:numPr>
        <w:spacing w:line="276" w:lineRule="auto"/>
        <w:jc w:val="both"/>
        <w:rPr>
          <w:b/>
          <w:lang w:val="pl-PL"/>
        </w:rPr>
      </w:pPr>
      <w:r w:rsidRPr="0002348C">
        <w:rPr>
          <w:b/>
          <w:lang w:val="pl-PL"/>
        </w:rPr>
        <w:t xml:space="preserve">Metoda leczenia nr 1 – standardowa </w:t>
      </w:r>
    </w:p>
    <w:p w14:paraId="1DBD08F7" w14:textId="77777777" w:rsidR="002B02EC" w:rsidRPr="0002348C" w:rsidRDefault="002B02EC" w:rsidP="00A43AED">
      <w:pPr>
        <w:pStyle w:val="NoSpacing"/>
        <w:ind w:left="720"/>
        <w:jc w:val="both"/>
        <w:rPr>
          <w:lang w:val="pl-PL"/>
        </w:rPr>
      </w:pPr>
    </w:p>
    <w:p w14:paraId="09CC538A" w14:textId="4BEE129A" w:rsidR="00A43AED" w:rsidRPr="0002348C" w:rsidRDefault="00A43AED" w:rsidP="00A43AED">
      <w:pPr>
        <w:pStyle w:val="NoSpacing"/>
        <w:ind w:left="720"/>
        <w:jc w:val="both"/>
        <w:rPr>
          <w:lang w:val="pl-PL"/>
        </w:rPr>
      </w:pPr>
      <w:r w:rsidRPr="0002348C">
        <w:rPr>
          <w:lang w:val="pl-PL"/>
        </w:rPr>
        <w:t xml:space="preserve">Pacjent otrzyma </w:t>
      </w:r>
      <w:r w:rsidR="00757700">
        <w:rPr>
          <w:lang w:val="pl-PL"/>
        </w:rPr>
        <w:t>rutynowe</w:t>
      </w:r>
      <w:r w:rsidRPr="0002348C">
        <w:rPr>
          <w:lang w:val="pl-PL"/>
        </w:rPr>
        <w:t xml:space="preserve"> leczenie zazwyczaj stosowane w leczeniu zakażeń </w:t>
      </w:r>
      <w:r w:rsidR="00C0335D">
        <w:rPr>
          <w:lang w:val="pl-PL"/>
        </w:rPr>
        <w:t xml:space="preserve">w Zjednoczonym Królestwie </w:t>
      </w:r>
      <w:r w:rsidRPr="0002348C">
        <w:rPr>
          <w:lang w:val="pl-PL"/>
        </w:rPr>
        <w:t xml:space="preserve">– roztwór soli (zbilansowanego krystaloidu) w postaci dożylnego wlew. W zależności od stanu zdrowia, pacjent może również w następnej kolejności otrzymać lek na podwyższenie ciśnienia krwi (wazokonstryktor). </w:t>
      </w:r>
    </w:p>
    <w:p w14:paraId="5AFE0591" w14:textId="5E28801D" w:rsidR="00A43AED" w:rsidRPr="0002348C" w:rsidRDefault="00A43AED" w:rsidP="00A43AED">
      <w:pPr>
        <w:pStyle w:val="NoSpacing"/>
        <w:ind w:left="720"/>
        <w:jc w:val="both"/>
        <w:rPr>
          <w:lang w:val="pl-PL"/>
        </w:rPr>
      </w:pPr>
    </w:p>
    <w:p w14:paraId="539F8CB3" w14:textId="018022BD" w:rsidR="00A43AED" w:rsidRPr="0002348C" w:rsidRDefault="00A43AED" w:rsidP="00A43AED">
      <w:pPr>
        <w:pStyle w:val="NoSpacing"/>
        <w:ind w:left="720"/>
        <w:jc w:val="both"/>
        <w:rPr>
          <w:lang w:val="pl-PL"/>
        </w:rPr>
      </w:pPr>
      <w:r w:rsidRPr="0002348C">
        <w:rPr>
          <w:lang w:val="pl-PL"/>
        </w:rPr>
        <w:t xml:space="preserve">Leki stosowane przy metodzie interwencyjnej (noradrenalina) mogą prowadzić do uszkodzenia płodu, wobec czego kobiety ciężarne nie </w:t>
      </w:r>
      <w:r w:rsidR="00757700">
        <w:rPr>
          <w:lang w:val="pl-PL"/>
        </w:rPr>
        <w:t>mogą brać</w:t>
      </w:r>
      <w:r w:rsidRPr="0002348C">
        <w:rPr>
          <w:lang w:val="pl-PL"/>
        </w:rPr>
        <w:t xml:space="preserve"> udziału w badaniu. Przed </w:t>
      </w:r>
      <w:r w:rsidR="000C00F6">
        <w:rPr>
          <w:lang w:val="pl-PL"/>
        </w:rPr>
        <w:t>rozpoczęciem leczenia objętego badaniem</w:t>
      </w:r>
      <w:r w:rsidRPr="0002348C">
        <w:rPr>
          <w:lang w:val="pl-PL"/>
        </w:rPr>
        <w:t xml:space="preserve">, u </w:t>
      </w:r>
      <w:r w:rsidRPr="00D77903">
        <w:rPr>
          <w:lang w:val="pl-PL"/>
        </w:rPr>
        <w:t>wszystkich</w:t>
      </w:r>
      <w:r w:rsidRPr="0002348C">
        <w:rPr>
          <w:lang w:val="pl-PL"/>
        </w:rPr>
        <w:t xml:space="preserve"> kobiet, które są w stanie zajść w ciążę, przeprowadza się test ciążowy. Dotyczy to także kobiet stosujących środki antykoncepcyjne w postaci tabletek, wkładek dopochwowych (zwanych niekiedy „sprężynką”) lub które nie odbywają stosunków dopochwowych.</w:t>
      </w:r>
    </w:p>
    <w:p w14:paraId="00F59A72" w14:textId="77777777" w:rsidR="002B02EC" w:rsidRPr="0002348C" w:rsidRDefault="002B02EC" w:rsidP="00A43AED">
      <w:pPr>
        <w:pStyle w:val="NoSpacing"/>
        <w:ind w:left="720"/>
        <w:jc w:val="both"/>
        <w:rPr>
          <w:lang w:val="pl-PL"/>
        </w:rPr>
      </w:pPr>
    </w:p>
    <w:p w14:paraId="37E0E1A4" w14:textId="77777777" w:rsidR="002B02EC" w:rsidRPr="0002348C" w:rsidRDefault="002B02EC" w:rsidP="002B02EC">
      <w:pPr>
        <w:pStyle w:val="NoSpacing"/>
        <w:numPr>
          <w:ilvl w:val="0"/>
          <w:numId w:val="4"/>
        </w:numPr>
        <w:rPr>
          <w:b/>
          <w:lang w:val="pl-PL"/>
        </w:rPr>
      </w:pPr>
      <w:r w:rsidRPr="0002348C">
        <w:rPr>
          <w:b/>
          <w:lang w:val="pl-PL"/>
        </w:rPr>
        <w:t xml:space="preserve">Metoda leczenia nr 2 – interwencyjna  </w:t>
      </w:r>
    </w:p>
    <w:p w14:paraId="02834E35" w14:textId="77777777" w:rsidR="002B02EC" w:rsidRPr="0002348C" w:rsidRDefault="002B02EC" w:rsidP="002B02EC">
      <w:pPr>
        <w:pStyle w:val="NoSpacing"/>
        <w:ind w:left="720"/>
        <w:jc w:val="both"/>
        <w:rPr>
          <w:lang w:val="pl-PL"/>
        </w:rPr>
      </w:pPr>
    </w:p>
    <w:p w14:paraId="493D1C08" w14:textId="074C7611" w:rsidR="002B02EC" w:rsidRPr="0002348C" w:rsidRDefault="00C0335D" w:rsidP="002B02EC">
      <w:pPr>
        <w:pStyle w:val="NoSpacing"/>
        <w:ind w:left="720"/>
        <w:jc w:val="both"/>
        <w:rPr>
          <w:lang w:val="pl-PL"/>
        </w:rPr>
      </w:pPr>
      <w:r w:rsidRPr="00C0335D">
        <w:rPr>
          <w:lang w:val="pl-PL"/>
        </w:rPr>
        <w:t>O ile zajdzie taka konieczność</w:t>
      </w:r>
      <w:r>
        <w:rPr>
          <w:lang w:val="pl-PL"/>
        </w:rPr>
        <w:t>, p</w:t>
      </w:r>
      <w:r w:rsidR="002B02EC" w:rsidRPr="0002348C">
        <w:rPr>
          <w:lang w:val="pl-PL"/>
        </w:rPr>
        <w:t xml:space="preserve">acjent otrzyma natychmiast lek na podwyższenie przepływu krwi do podstawowych narządów (wazokonstryktor) w postaci dożylnego wlewu w ramię. W razie konieczności, można również podać w późniejszym czasie kroplówkę z roztworem soli.  </w:t>
      </w:r>
    </w:p>
    <w:p w14:paraId="0D3B52B7" w14:textId="50FBFC78" w:rsidR="002B02EC" w:rsidRPr="0002348C" w:rsidRDefault="002B02EC" w:rsidP="002B02EC">
      <w:pPr>
        <w:pStyle w:val="NoSpacing"/>
        <w:ind w:left="720"/>
        <w:jc w:val="both"/>
        <w:rPr>
          <w:b/>
          <w:lang w:val="pl-PL"/>
        </w:rPr>
      </w:pPr>
    </w:p>
    <w:p w14:paraId="2CE4C4B6" w14:textId="0DA04F0D" w:rsidR="002B02EC" w:rsidRPr="0002348C" w:rsidRDefault="002B02EC" w:rsidP="00680464">
      <w:pPr>
        <w:pStyle w:val="NoSpacing"/>
        <w:ind w:left="720"/>
        <w:jc w:val="both"/>
        <w:rPr>
          <w:lang w:val="pl-PL"/>
        </w:rPr>
      </w:pPr>
      <w:r w:rsidRPr="0002348C">
        <w:rPr>
          <w:lang w:val="pl-PL"/>
        </w:rPr>
        <w:t xml:space="preserve">Przy każdej z tych metod leczenie będzie prowadzone tak długo, jak będzie to konieczne, ale </w:t>
      </w:r>
      <w:r w:rsidR="00757700">
        <w:rPr>
          <w:lang w:val="pl-PL"/>
        </w:rPr>
        <w:t>udział w</w:t>
      </w:r>
      <w:r w:rsidRPr="0002348C">
        <w:rPr>
          <w:lang w:val="pl-PL"/>
        </w:rPr>
        <w:t xml:space="preserve"> badani</w:t>
      </w:r>
      <w:r w:rsidR="00757700">
        <w:rPr>
          <w:lang w:val="pl-PL"/>
        </w:rPr>
        <w:t xml:space="preserve">u </w:t>
      </w:r>
      <w:r w:rsidRPr="0002348C">
        <w:rPr>
          <w:lang w:val="pl-PL"/>
        </w:rPr>
        <w:t>zostanie zakończon</w:t>
      </w:r>
      <w:r w:rsidR="00680464">
        <w:rPr>
          <w:lang w:val="pl-PL"/>
        </w:rPr>
        <w:t>y</w:t>
      </w:r>
      <w:r w:rsidRPr="0002348C">
        <w:rPr>
          <w:lang w:val="pl-PL"/>
        </w:rPr>
        <w:t xml:space="preserve"> po upływie 48 godzin. </w:t>
      </w:r>
      <w:r w:rsidR="00680464">
        <w:rPr>
          <w:lang w:val="pl-PL"/>
        </w:rPr>
        <w:t xml:space="preserve">Zbieranie danych będzie trwało przez okres </w:t>
      </w:r>
      <w:r w:rsidR="008370C7">
        <w:rPr>
          <w:lang w:val="pl-PL"/>
        </w:rPr>
        <w:t xml:space="preserve">104 </w:t>
      </w:r>
      <w:r w:rsidR="00680464">
        <w:rPr>
          <w:lang w:val="pl-PL"/>
        </w:rPr>
        <w:t xml:space="preserve">dni do zakończenia okresu kontrolnego. </w:t>
      </w:r>
      <w:r w:rsidRPr="0002348C">
        <w:rPr>
          <w:lang w:val="pl-PL"/>
        </w:rPr>
        <w:t xml:space="preserve">Wszystkie inne metody leczenia będą zależeć od lekarza prowadzącego, który je omówi z pacjentem. </w:t>
      </w:r>
    </w:p>
    <w:p w14:paraId="5F5B4BB6" w14:textId="77777777" w:rsidR="002B02EC" w:rsidRPr="0002348C" w:rsidRDefault="002B02EC" w:rsidP="00027216">
      <w:pPr>
        <w:pStyle w:val="NoSpacing"/>
        <w:jc w:val="both"/>
        <w:rPr>
          <w:lang w:val="pl-PL"/>
        </w:rPr>
      </w:pPr>
    </w:p>
    <w:p w14:paraId="7BB9510D" w14:textId="7262BE21" w:rsidR="00027216" w:rsidRPr="0002348C" w:rsidRDefault="008370C7" w:rsidP="00680464">
      <w:pPr>
        <w:pStyle w:val="NoSpacing"/>
        <w:ind w:left="714"/>
        <w:jc w:val="both"/>
        <w:rPr>
          <w:lang w:val="pl-PL"/>
        </w:rPr>
      </w:pPr>
      <w:r>
        <w:rPr>
          <w:lang w:val="pl-PL"/>
        </w:rPr>
        <w:t xml:space="preserve">W okresie między 31 a 44 dniem i </w:t>
      </w:r>
      <w:bookmarkStart w:id="1" w:name="_Hlk192535465"/>
      <w:r>
        <w:rPr>
          <w:lang w:val="pl-PL"/>
        </w:rPr>
        <w:t>między 91 a 104 dniem</w:t>
      </w:r>
      <w:bookmarkEnd w:id="1"/>
      <w:r>
        <w:rPr>
          <w:lang w:val="pl-PL"/>
        </w:rPr>
        <w:t xml:space="preserve"> </w:t>
      </w:r>
      <w:r w:rsidR="002B02EC" w:rsidRPr="0002348C">
        <w:rPr>
          <w:lang w:val="pl-PL"/>
        </w:rPr>
        <w:t xml:space="preserve">od opuszczenia szpitala przejrzymy dokumentację medyczną pacjenta, aby ustalić zakres powrotu do zdrowia oraz czy zaszła konieczność dalszych wizyt w szpitalu w celu dodatkowych badań lub leczenia. Kontakt z </w:t>
      </w:r>
      <w:r w:rsidR="00027216" w:rsidRPr="0002348C">
        <w:rPr>
          <w:lang w:val="pl-PL"/>
        </w:rPr>
        <w:t>pacjentem</w:t>
      </w:r>
      <w:r w:rsidR="002B02EC" w:rsidRPr="0002348C">
        <w:rPr>
          <w:lang w:val="pl-PL"/>
        </w:rPr>
        <w:t xml:space="preserve"> nie będzie </w:t>
      </w:r>
      <w:r w:rsidR="00027216" w:rsidRPr="0002348C">
        <w:rPr>
          <w:lang w:val="pl-PL"/>
        </w:rPr>
        <w:t xml:space="preserve">w tym celu </w:t>
      </w:r>
      <w:r w:rsidR="002B02EC" w:rsidRPr="0002348C">
        <w:rPr>
          <w:lang w:val="pl-PL"/>
        </w:rPr>
        <w:t>konieczny</w:t>
      </w:r>
      <w:r w:rsidR="00027216" w:rsidRPr="0002348C">
        <w:rPr>
          <w:lang w:val="pl-PL"/>
        </w:rPr>
        <w:t>.</w:t>
      </w:r>
    </w:p>
    <w:p w14:paraId="2B312F0B" w14:textId="77777777" w:rsidR="00027216" w:rsidRPr="0002348C" w:rsidRDefault="00027216" w:rsidP="00027216">
      <w:pPr>
        <w:pStyle w:val="ListParagraph"/>
        <w:spacing w:after="0"/>
        <w:contextualSpacing w:val="0"/>
        <w:rPr>
          <w:lang w:val="pl-PL"/>
        </w:rPr>
      </w:pPr>
    </w:p>
    <w:p w14:paraId="70BE22EE" w14:textId="7921DBD7" w:rsidR="00027216" w:rsidRPr="0002348C" w:rsidRDefault="00027216" w:rsidP="00680464">
      <w:pPr>
        <w:pStyle w:val="NoSpacing"/>
        <w:ind w:left="720"/>
        <w:jc w:val="both"/>
        <w:rPr>
          <w:lang w:val="pl-PL"/>
        </w:rPr>
      </w:pPr>
      <w:r w:rsidRPr="0002348C">
        <w:rPr>
          <w:lang w:val="pl-PL"/>
        </w:rPr>
        <w:t>Dodatkowe wizyty w szpitalu nie będą konieczne</w:t>
      </w:r>
      <w:r w:rsidR="00757700">
        <w:rPr>
          <w:lang w:val="pl-PL"/>
        </w:rPr>
        <w:t>.</w:t>
      </w:r>
    </w:p>
    <w:p w14:paraId="6E11688C" w14:textId="77777777" w:rsidR="002B02EC" w:rsidRPr="0002348C" w:rsidRDefault="002B02EC" w:rsidP="002B02EC">
      <w:pPr>
        <w:pStyle w:val="NoSpacing"/>
        <w:ind w:left="720"/>
        <w:jc w:val="both"/>
        <w:rPr>
          <w:b/>
          <w:lang w:val="pl-PL"/>
        </w:rPr>
      </w:pPr>
    </w:p>
    <w:p w14:paraId="74BC1867" w14:textId="01627DBA" w:rsidR="00013A28" w:rsidRPr="0002348C" w:rsidRDefault="00027216" w:rsidP="00013A28">
      <w:pPr>
        <w:pStyle w:val="NoSpacing"/>
        <w:jc w:val="both"/>
        <w:rPr>
          <w:b/>
          <w:bCs/>
          <w:u w:val="single"/>
          <w:lang w:val="pl-PL"/>
        </w:rPr>
      </w:pPr>
      <w:r w:rsidRPr="0002348C">
        <w:rPr>
          <w:b/>
          <w:bCs/>
          <w:u w:val="single"/>
          <w:lang w:val="pl-PL"/>
        </w:rPr>
        <w:t>Jakie jest ewentualne ryzyko?</w:t>
      </w:r>
    </w:p>
    <w:p w14:paraId="3A7DED23" w14:textId="02DDCD96" w:rsidR="00027216" w:rsidRPr="0002348C" w:rsidRDefault="00027216" w:rsidP="00027216">
      <w:pPr>
        <w:pStyle w:val="NoSpacing"/>
        <w:numPr>
          <w:ilvl w:val="0"/>
          <w:numId w:val="8"/>
        </w:numPr>
        <w:jc w:val="both"/>
        <w:rPr>
          <w:lang w:val="pl-PL"/>
        </w:rPr>
      </w:pPr>
      <w:r w:rsidRPr="0002348C">
        <w:rPr>
          <w:lang w:val="pl-PL"/>
        </w:rPr>
        <w:t xml:space="preserve">Ryzyko związane z </w:t>
      </w:r>
      <w:r w:rsidR="00D35DBE" w:rsidRPr="0002348C">
        <w:rPr>
          <w:lang w:val="pl-PL"/>
        </w:rPr>
        <w:t>badaniem klinicznym zawiera wiele t</w:t>
      </w:r>
      <w:r w:rsidR="00757700">
        <w:rPr>
          <w:lang w:val="pl-PL"/>
        </w:rPr>
        <w:t>aki</w:t>
      </w:r>
      <w:r w:rsidR="00D35DBE" w:rsidRPr="0002348C">
        <w:rPr>
          <w:lang w:val="pl-PL"/>
        </w:rPr>
        <w:t>ch samych elementów, jakie występują w rutynowym leczeniu sepsy.</w:t>
      </w:r>
    </w:p>
    <w:p w14:paraId="626A3A02" w14:textId="0361447E" w:rsidR="00D35DBE" w:rsidRPr="0002348C" w:rsidRDefault="00D35DBE" w:rsidP="00027216">
      <w:pPr>
        <w:pStyle w:val="NoSpacing"/>
        <w:numPr>
          <w:ilvl w:val="0"/>
          <w:numId w:val="8"/>
        </w:numPr>
        <w:jc w:val="both"/>
        <w:rPr>
          <w:lang w:val="pl-PL"/>
        </w:rPr>
      </w:pPr>
      <w:r w:rsidRPr="0002348C">
        <w:rPr>
          <w:lang w:val="pl-PL"/>
        </w:rPr>
        <w:t>Ryzyko, jakie może wystąpić w badaniu obejmuje:</w:t>
      </w:r>
    </w:p>
    <w:p w14:paraId="458D389D" w14:textId="4ABE847F" w:rsidR="00D35DBE" w:rsidRPr="0002348C" w:rsidRDefault="00D35DBE" w:rsidP="00D35DBE">
      <w:pPr>
        <w:pStyle w:val="NoSpacing"/>
        <w:numPr>
          <w:ilvl w:val="1"/>
          <w:numId w:val="8"/>
        </w:numPr>
        <w:jc w:val="both"/>
        <w:rPr>
          <w:lang w:val="pl-PL"/>
        </w:rPr>
      </w:pPr>
      <w:r w:rsidRPr="0002348C">
        <w:rPr>
          <w:lang w:val="pl-PL"/>
        </w:rPr>
        <w:t>Ból głowy (łagodny)</w:t>
      </w:r>
    </w:p>
    <w:p w14:paraId="09EDD741" w14:textId="666D21E7" w:rsidR="00D35DBE" w:rsidRPr="0002348C" w:rsidRDefault="00D35DBE" w:rsidP="00D35DBE">
      <w:pPr>
        <w:pStyle w:val="NoSpacing"/>
        <w:numPr>
          <w:ilvl w:val="1"/>
          <w:numId w:val="8"/>
        </w:numPr>
        <w:jc w:val="both"/>
        <w:rPr>
          <w:lang w:val="pl-PL"/>
        </w:rPr>
      </w:pPr>
      <w:r w:rsidRPr="0002348C">
        <w:rPr>
          <w:lang w:val="pl-PL"/>
        </w:rPr>
        <w:t>Duszności (łagodne)</w:t>
      </w:r>
    </w:p>
    <w:p w14:paraId="03BA7FA0" w14:textId="57B6C580" w:rsidR="00D35DBE" w:rsidRPr="0002348C" w:rsidRDefault="00D35DBE" w:rsidP="00D35DBE">
      <w:pPr>
        <w:pStyle w:val="NoSpacing"/>
        <w:numPr>
          <w:ilvl w:val="1"/>
          <w:numId w:val="8"/>
        </w:numPr>
        <w:jc w:val="both"/>
        <w:rPr>
          <w:lang w:val="pl-PL"/>
        </w:rPr>
      </w:pPr>
      <w:r w:rsidRPr="0002348C">
        <w:rPr>
          <w:lang w:val="pl-PL"/>
        </w:rPr>
        <w:t>Nieregularne bicie serca (rzadko)</w:t>
      </w:r>
    </w:p>
    <w:p w14:paraId="19C3960B" w14:textId="33499BA2" w:rsidR="00D35DBE" w:rsidRPr="0002348C" w:rsidRDefault="00D35DBE" w:rsidP="00D35DBE">
      <w:pPr>
        <w:pStyle w:val="NoSpacing"/>
        <w:numPr>
          <w:ilvl w:val="1"/>
          <w:numId w:val="8"/>
        </w:numPr>
        <w:jc w:val="both"/>
        <w:rPr>
          <w:lang w:val="pl-PL"/>
        </w:rPr>
      </w:pPr>
      <w:r w:rsidRPr="0002348C">
        <w:rPr>
          <w:lang w:val="pl-PL"/>
        </w:rPr>
        <w:t xml:space="preserve">Zakażenie w miejscu wkłucia kroplówki </w:t>
      </w:r>
    </w:p>
    <w:p w14:paraId="29E457B7" w14:textId="3805D45C" w:rsidR="00D35DBE" w:rsidRPr="0002348C" w:rsidRDefault="00D35DBE" w:rsidP="00D35DBE">
      <w:pPr>
        <w:pStyle w:val="NoSpacing"/>
        <w:jc w:val="both"/>
        <w:rPr>
          <w:lang w:val="pl-PL"/>
        </w:rPr>
      </w:pPr>
    </w:p>
    <w:p w14:paraId="4357B5CF" w14:textId="77777777" w:rsidR="00D35DBE" w:rsidRPr="0002348C" w:rsidRDefault="00D35DBE" w:rsidP="00D35DBE">
      <w:pPr>
        <w:pStyle w:val="NoSpacing"/>
        <w:spacing w:line="276" w:lineRule="auto"/>
        <w:jc w:val="both"/>
        <w:rPr>
          <w:b/>
          <w:u w:val="single"/>
          <w:lang w:val="pl-PL"/>
        </w:rPr>
      </w:pPr>
      <w:r w:rsidRPr="0002348C">
        <w:rPr>
          <w:b/>
          <w:u w:val="single"/>
          <w:lang w:val="pl-PL"/>
        </w:rPr>
        <w:t xml:space="preserve">Czy muszę wziąć udział? </w:t>
      </w:r>
    </w:p>
    <w:p w14:paraId="52B08ED5" w14:textId="6AADBA49" w:rsidR="00D35DBE" w:rsidRPr="0002348C" w:rsidRDefault="00E2178E" w:rsidP="00E2178E">
      <w:pPr>
        <w:pStyle w:val="NoSpacing"/>
        <w:numPr>
          <w:ilvl w:val="0"/>
          <w:numId w:val="9"/>
        </w:numPr>
        <w:jc w:val="both"/>
        <w:rPr>
          <w:lang w:val="pl-PL"/>
        </w:rPr>
      </w:pPr>
      <w:r w:rsidRPr="0002348C">
        <w:rPr>
          <w:lang w:val="pl-PL"/>
        </w:rPr>
        <w:t>Nie. Zgodę na badanie można w każdej chwili wycofać, co nie wpłynie w żaden sposób na opiekę.</w:t>
      </w:r>
    </w:p>
    <w:p w14:paraId="786C340A" w14:textId="77777777" w:rsidR="00E2178E" w:rsidRPr="0002348C" w:rsidRDefault="00E2178E" w:rsidP="00E2178E">
      <w:pPr>
        <w:pStyle w:val="NoSpacing"/>
        <w:spacing w:line="276" w:lineRule="auto"/>
        <w:jc w:val="both"/>
        <w:rPr>
          <w:b/>
          <w:u w:val="single"/>
          <w:lang w:val="pl-PL"/>
        </w:rPr>
      </w:pPr>
    </w:p>
    <w:p w14:paraId="12DDD9C6" w14:textId="6A156050" w:rsidR="00E2178E" w:rsidRPr="0002348C" w:rsidRDefault="00E2178E" w:rsidP="00E2178E">
      <w:pPr>
        <w:pStyle w:val="NoSpacing"/>
        <w:spacing w:line="276" w:lineRule="auto"/>
        <w:jc w:val="both"/>
        <w:rPr>
          <w:b/>
          <w:u w:val="single"/>
          <w:lang w:val="pl-PL"/>
        </w:rPr>
      </w:pPr>
      <w:r w:rsidRPr="0002348C">
        <w:rPr>
          <w:b/>
          <w:u w:val="single"/>
          <w:lang w:val="pl-PL"/>
        </w:rPr>
        <w:t>Jakie są korzyści z udziału w badaniu?</w:t>
      </w:r>
    </w:p>
    <w:p w14:paraId="14612B36" w14:textId="073BDFF6" w:rsidR="00013A28" w:rsidRPr="0002348C" w:rsidRDefault="00E2178E" w:rsidP="00013A28">
      <w:pPr>
        <w:pStyle w:val="NoSpacing"/>
        <w:numPr>
          <w:ilvl w:val="0"/>
          <w:numId w:val="9"/>
        </w:numPr>
        <w:jc w:val="both"/>
        <w:rPr>
          <w:lang w:val="pl-PL"/>
        </w:rPr>
      </w:pPr>
      <w:r w:rsidRPr="0002348C">
        <w:rPr>
          <w:lang w:val="pl-PL"/>
        </w:rPr>
        <w:t xml:space="preserve">Nie ma gwarancji, że pacjent odniesie jakiekolwiek korzyści z tego badania, ale wyniki badań naukowych mogą w przyszłości przynieść korzyści innym. </w:t>
      </w:r>
    </w:p>
    <w:p w14:paraId="51AC211E" w14:textId="77777777" w:rsidR="00A7788C" w:rsidRPr="0002348C" w:rsidRDefault="00A7788C" w:rsidP="00013A28">
      <w:pPr>
        <w:pStyle w:val="NoSpacing"/>
        <w:jc w:val="both"/>
        <w:rPr>
          <w:lang w:val="pl-PL"/>
        </w:rPr>
      </w:pPr>
    </w:p>
    <w:p w14:paraId="008D0FBF" w14:textId="5FFB6004" w:rsidR="00E2178E" w:rsidRPr="0002348C" w:rsidRDefault="00E2178E" w:rsidP="00E2178E">
      <w:pPr>
        <w:pStyle w:val="NoSpacing"/>
        <w:spacing w:line="276" w:lineRule="auto"/>
        <w:jc w:val="both"/>
        <w:rPr>
          <w:b/>
          <w:u w:val="single"/>
          <w:lang w:val="pl-PL"/>
        </w:rPr>
      </w:pPr>
      <w:r w:rsidRPr="0002348C">
        <w:rPr>
          <w:b/>
          <w:u w:val="single"/>
          <w:lang w:val="pl-PL"/>
        </w:rPr>
        <w:t>Czy mój udział w badaniu będzie traktowany poufnie?</w:t>
      </w:r>
    </w:p>
    <w:p w14:paraId="3EA1B9F3" w14:textId="6F736CF6" w:rsidR="00E2178E" w:rsidRPr="0002348C" w:rsidRDefault="00E2178E" w:rsidP="00E2178E">
      <w:pPr>
        <w:pStyle w:val="NoSpacing"/>
        <w:numPr>
          <w:ilvl w:val="0"/>
          <w:numId w:val="9"/>
        </w:numPr>
        <w:jc w:val="both"/>
        <w:rPr>
          <w:lang w:val="pl-PL"/>
        </w:rPr>
      </w:pPr>
      <w:r w:rsidRPr="0002348C">
        <w:rPr>
          <w:lang w:val="pl-PL"/>
        </w:rPr>
        <w:t>Tak. Informacje na temat zdrowia uczestnika badania</w:t>
      </w:r>
      <w:r w:rsidR="0093218E" w:rsidRPr="0002348C">
        <w:rPr>
          <w:lang w:val="pl-PL"/>
        </w:rPr>
        <w:t>, w tym jego</w:t>
      </w:r>
      <w:r w:rsidRPr="0002348C">
        <w:rPr>
          <w:lang w:val="pl-PL"/>
        </w:rPr>
        <w:t xml:space="preserve"> akta medyczne będą </w:t>
      </w:r>
      <w:r w:rsidR="0093218E" w:rsidRPr="0002348C">
        <w:rPr>
          <w:lang w:val="pl-PL"/>
        </w:rPr>
        <w:t>przekazane lekarzowi prowadzącemu i innym pracownikom placówki zaangażowanej w badanie</w:t>
      </w:r>
      <w:r w:rsidRPr="0002348C">
        <w:rPr>
          <w:lang w:val="pl-PL"/>
        </w:rPr>
        <w:t xml:space="preserve"> w celach badawczych, </w:t>
      </w:r>
      <w:r w:rsidR="0093218E" w:rsidRPr="0002348C">
        <w:rPr>
          <w:lang w:val="pl-PL"/>
        </w:rPr>
        <w:t xml:space="preserve">którzy dołożą wszelkich starań, aby zachować poufność tych danych. </w:t>
      </w:r>
    </w:p>
    <w:p w14:paraId="42693AC2" w14:textId="77777777" w:rsidR="008370C7" w:rsidRDefault="008370C7" w:rsidP="008370C7">
      <w:pPr>
        <w:pStyle w:val="NoSpacing"/>
        <w:spacing w:line="276" w:lineRule="auto"/>
        <w:jc w:val="both"/>
        <w:rPr>
          <w:b/>
          <w:u w:val="single"/>
          <w:lang w:val="pl-PL"/>
        </w:rPr>
      </w:pPr>
    </w:p>
    <w:p w14:paraId="4CC21A42" w14:textId="44EC9051" w:rsidR="008370C7" w:rsidRPr="003113CE" w:rsidRDefault="008370C7" w:rsidP="003113CE">
      <w:pPr>
        <w:pStyle w:val="NoSpacing"/>
        <w:spacing w:line="276" w:lineRule="auto"/>
        <w:jc w:val="both"/>
        <w:rPr>
          <w:b/>
          <w:u w:val="single"/>
          <w:lang w:val="pl-PL"/>
        </w:rPr>
      </w:pPr>
      <w:r w:rsidRPr="003113CE">
        <w:rPr>
          <w:b/>
          <w:u w:val="single"/>
          <w:lang w:val="pl-PL"/>
        </w:rPr>
        <w:t>Jak wykorzystamy dane uczestnika?</w:t>
      </w:r>
    </w:p>
    <w:p w14:paraId="62F1002B" w14:textId="4B6F110B" w:rsidR="00E2178E" w:rsidRDefault="008370C7" w:rsidP="008370C7">
      <w:pPr>
        <w:pStyle w:val="NoSpacing"/>
        <w:numPr>
          <w:ilvl w:val="0"/>
          <w:numId w:val="9"/>
        </w:numPr>
        <w:jc w:val="both"/>
        <w:rPr>
          <w:bCs/>
          <w:lang w:val="pl-PL"/>
        </w:rPr>
      </w:pPr>
      <w:r w:rsidRPr="003113CE">
        <w:rPr>
          <w:bCs/>
          <w:lang w:val="pl-PL"/>
        </w:rPr>
        <w:t xml:space="preserve">W badaniu </w:t>
      </w:r>
      <w:r>
        <w:rPr>
          <w:bCs/>
          <w:lang w:val="pl-PL"/>
        </w:rPr>
        <w:t xml:space="preserve">wykorzystamy dane zebrane od uczestnika oraz pozyskane z jego dokumentacji medycznej. Będziemy używać jedynie informacji niezbędnych do badania. Dostęp do danych </w:t>
      </w:r>
      <w:r>
        <w:rPr>
          <w:bCs/>
          <w:lang w:val="pl-PL"/>
        </w:rPr>
        <w:lastRenderedPageBreak/>
        <w:t xml:space="preserve">obejmujących imię i nazwisko oraz dane kontaktowe uczestników będzie miała bardzo nieliczna grupa osób. </w:t>
      </w:r>
    </w:p>
    <w:p w14:paraId="20D78350" w14:textId="324965B8" w:rsidR="008370C7" w:rsidRDefault="008370C7" w:rsidP="008370C7">
      <w:pPr>
        <w:pStyle w:val="NoSpacing"/>
        <w:numPr>
          <w:ilvl w:val="0"/>
          <w:numId w:val="9"/>
        </w:numPr>
        <w:jc w:val="both"/>
        <w:rPr>
          <w:bCs/>
          <w:lang w:val="pl-PL"/>
        </w:rPr>
      </w:pPr>
      <w:r>
        <w:rPr>
          <w:bCs/>
          <w:lang w:val="pl-PL"/>
        </w:rPr>
        <w:t>Osoby zaangażowane w badanie będą dbać o bezpieczne przechowywanie danych uczestników, przestrzegając wszystkie przepisów dotyczących prywatności.</w:t>
      </w:r>
    </w:p>
    <w:p w14:paraId="2116C4D1" w14:textId="28F04BEE" w:rsidR="008370C7" w:rsidRDefault="008370C7" w:rsidP="008370C7">
      <w:pPr>
        <w:pStyle w:val="NoSpacing"/>
        <w:numPr>
          <w:ilvl w:val="0"/>
          <w:numId w:val="9"/>
        </w:numPr>
        <w:jc w:val="both"/>
        <w:rPr>
          <w:bCs/>
          <w:lang w:val="pl-PL"/>
        </w:rPr>
      </w:pPr>
      <w:r>
        <w:rPr>
          <w:bCs/>
          <w:lang w:val="pl-PL"/>
        </w:rPr>
        <w:t xml:space="preserve">Część danych po zakończeniu badania zostanie zachowana </w:t>
      </w:r>
      <w:r w:rsidR="00680A13">
        <w:rPr>
          <w:bCs/>
          <w:lang w:val="pl-PL"/>
        </w:rPr>
        <w:t>w celach weryfikacyjnych badania.</w:t>
      </w:r>
    </w:p>
    <w:p w14:paraId="07E2475D" w14:textId="0CBB1900" w:rsidR="00680A13" w:rsidRDefault="00680A13" w:rsidP="008370C7">
      <w:pPr>
        <w:pStyle w:val="NoSpacing"/>
        <w:numPr>
          <w:ilvl w:val="0"/>
          <w:numId w:val="9"/>
        </w:numPr>
        <w:jc w:val="both"/>
        <w:rPr>
          <w:bCs/>
          <w:lang w:val="pl-PL"/>
        </w:rPr>
      </w:pPr>
      <w:r>
        <w:rPr>
          <w:bCs/>
          <w:lang w:val="pl-PL"/>
        </w:rPr>
        <w:t xml:space="preserve">Dane będą przechowywane w sposób uniemożliwiający identyfikację uczestników. </w:t>
      </w:r>
    </w:p>
    <w:p w14:paraId="3F86F23B" w14:textId="736C4659" w:rsidR="00680A13" w:rsidRPr="003113CE" w:rsidRDefault="00680A13" w:rsidP="003113CE">
      <w:pPr>
        <w:pStyle w:val="NoSpacing"/>
        <w:numPr>
          <w:ilvl w:val="0"/>
          <w:numId w:val="9"/>
        </w:numPr>
        <w:jc w:val="both"/>
        <w:rPr>
          <w:bCs/>
          <w:lang w:val="pl-PL"/>
        </w:rPr>
      </w:pPr>
      <w:r>
        <w:rPr>
          <w:bCs/>
          <w:lang w:val="pl-PL"/>
        </w:rPr>
        <w:t>Dalsze informacje można znaleźć w arkuszu informacyjnym.</w:t>
      </w:r>
    </w:p>
    <w:p w14:paraId="77FA84B1" w14:textId="77777777" w:rsidR="00680A13" w:rsidRDefault="00680A13" w:rsidP="0093218E">
      <w:pPr>
        <w:pStyle w:val="NoSpacing"/>
        <w:spacing w:line="276" w:lineRule="auto"/>
        <w:jc w:val="both"/>
        <w:rPr>
          <w:b/>
          <w:u w:val="single"/>
          <w:lang w:val="pl-PL"/>
        </w:rPr>
      </w:pPr>
    </w:p>
    <w:p w14:paraId="2D41E09E" w14:textId="5B0C0A78" w:rsidR="0093218E" w:rsidRPr="0002348C" w:rsidRDefault="0093218E" w:rsidP="0093218E">
      <w:pPr>
        <w:pStyle w:val="NoSpacing"/>
        <w:spacing w:line="276" w:lineRule="auto"/>
        <w:jc w:val="both"/>
        <w:rPr>
          <w:b/>
          <w:u w:val="single"/>
          <w:lang w:val="pl-PL"/>
        </w:rPr>
      </w:pPr>
      <w:r w:rsidRPr="0002348C">
        <w:rPr>
          <w:b/>
          <w:u w:val="single"/>
          <w:lang w:val="pl-PL"/>
        </w:rPr>
        <w:t>A jeśli pojawią się jakieś problemy?</w:t>
      </w:r>
    </w:p>
    <w:p w14:paraId="2D1CCAC7" w14:textId="69D1D0ED" w:rsidR="0093218E" w:rsidRPr="0002348C" w:rsidRDefault="0093218E" w:rsidP="00A1404B">
      <w:pPr>
        <w:pStyle w:val="NoSpacing"/>
        <w:numPr>
          <w:ilvl w:val="0"/>
          <w:numId w:val="6"/>
        </w:numPr>
        <w:jc w:val="both"/>
        <w:rPr>
          <w:lang w:val="pl-PL"/>
        </w:rPr>
      </w:pPr>
      <w:r w:rsidRPr="0002348C">
        <w:rPr>
          <w:lang w:val="pl-PL"/>
        </w:rPr>
        <w:t>Pacjent ma dostęp do normalnych mechanizmów składania zażaleń na służbę zdrowia</w:t>
      </w:r>
      <w:r w:rsidR="009D0FFE">
        <w:rPr>
          <w:lang w:val="pl-PL"/>
        </w:rPr>
        <w:t>.</w:t>
      </w:r>
    </w:p>
    <w:p w14:paraId="2D2855F4" w14:textId="3148FAFA" w:rsidR="0093218E" w:rsidRPr="0002348C" w:rsidRDefault="0093218E" w:rsidP="00A1404B">
      <w:pPr>
        <w:pStyle w:val="NoSpacing"/>
        <w:numPr>
          <w:ilvl w:val="0"/>
          <w:numId w:val="6"/>
        </w:numPr>
        <w:jc w:val="both"/>
        <w:rPr>
          <w:lang w:val="pl-PL"/>
        </w:rPr>
      </w:pPr>
      <w:r w:rsidRPr="0002348C">
        <w:rPr>
          <w:lang w:val="pl-PL"/>
        </w:rPr>
        <w:t>Uczestnicy nie otrzymują żadnego wynagrodzenia</w:t>
      </w:r>
      <w:r w:rsidR="009D0FFE">
        <w:rPr>
          <w:lang w:val="pl-PL"/>
        </w:rPr>
        <w:t>.</w:t>
      </w:r>
    </w:p>
    <w:p w14:paraId="17BF81B7" w14:textId="57D10B5B" w:rsidR="0093218E" w:rsidRPr="0002348C" w:rsidRDefault="0093218E" w:rsidP="00A1404B">
      <w:pPr>
        <w:pStyle w:val="NoSpacing"/>
        <w:numPr>
          <w:ilvl w:val="0"/>
          <w:numId w:val="6"/>
        </w:numPr>
        <w:jc w:val="both"/>
        <w:rPr>
          <w:lang w:val="pl-PL"/>
        </w:rPr>
      </w:pPr>
      <w:r w:rsidRPr="0002348C">
        <w:rPr>
          <w:lang w:val="pl-PL"/>
        </w:rPr>
        <w:t xml:space="preserve">W przypadku poniesienia szkody, odszkodowanie nie przysługuje ani pacjentowi, ani jego </w:t>
      </w:r>
      <w:r w:rsidR="00032B7C" w:rsidRPr="0002348C">
        <w:rPr>
          <w:lang w:val="pl-PL"/>
        </w:rPr>
        <w:t>ubezpieczycielowi</w:t>
      </w:r>
      <w:r w:rsidR="009D0FFE">
        <w:rPr>
          <w:lang w:val="pl-PL"/>
        </w:rPr>
        <w:t>.</w:t>
      </w:r>
    </w:p>
    <w:p w14:paraId="7457DD4D" w14:textId="77777777" w:rsidR="009D0FFE" w:rsidRDefault="009D0FFE" w:rsidP="00032B7C">
      <w:pPr>
        <w:pStyle w:val="NoSpacing"/>
        <w:jc w:val="both"/>
        <w:rPr>
          <w:lang w:val="pl-PL"/>
        </w:rPr>
      </w:pPr>
    </w:p>
    <w:p w14:paraId="340FBF56" w14:textId="7A0738CC" w:rsidR="00032B7C" w:rsidRPr="0002348C" w:rsidRDefault="00032B7C" w:rsidP="00032B7C">
      <w:pPr>
        <w:pStyle w:val="NoSpacing"/>
        <w:jc w:val="both"/>
        <w:rPr>
          <w:lang w:val="pl-PL"/>
        </w:rPr>
      </w:pPr>
      <w:r w:rsidRPr="0002348C">
        <w:rPr>
          <w:lang w:val="pl-PL"/>
        </w:rPr>
        <w:t xml:space="preserve">Bardziej szczegółowe informacje na temat tego badania będą podane w oddzielnym arkuszu informacyjnym i w formularzu zgody, który pacjent musi przeczytać i podpisać, gdy jego stan </w:t>
      </w:r>
      <w:r w:rsidR="009D0FFE">
        <w:rPr>
          <w:lang w:val="pl-PL"/>
        </w:rPr>
        <w:t>zdrowia się ustabilizuje</w:t>
      </w:r>
      <w:r w:rsidRPr="0002348C">
        <w:rPr>
          <w:lang w:val="pl-PL"/>
        </w:rPr>
        <w:t>, jeśli chce wyrazić zgodę na udział w badaniu.</w:t>
      </w:r>
    </w:p>
    <w:p w14:paraId="7A2F33CF" w14:textId="7FE395D7" w:rsidR="00032B7C" w:rsidRPr="0002348C" w:rsidRDefault="00032B7C" w:rsidP="00032B7C">
      <w:pPr>
        <w:pStyle w:val="NoSpacing"/>
        <w:jc w:val="both"/>
        <w:rPr>
          <w:lang w:val="pl-PL"/>
        </w:rPr>
      </w:pPr>
    </w:p>
    <w:p w14:paraId="58F84CDE" w14:textId="021ADD34" w:rsidR="00032B7C" w:rsidRPr="0002348C" w:rsidRDefault="00032B7C" w:rsidP="00032B7C">
      <w:pPr>
        <w:pStyle w:val="NoSpacing"/>
        <w:jc w:val="both"/>
        <w:rPr>
          <w:lang w:val="pl-PL"/>
        </w:rPr>
      </w:pPr>
      <w:r w:rsidRPr="0002348C">
        <w:rPr>
          <w:lang w:val="pl-PL"/>
        </w:rPr>
        <w:t>Aby uzyskać odpowiedzi na pytania dotyczące badania</w:t>
      </w:r>
      <w:r w:rsidR="009D0FFE">
        <w:rPr>
          <w:lang w:val="pl-PL"/>
        </w:rPr>
        <w:t>,</w:t>
      </w:r>
      <w:r w:rsidRPr="0002348C">
        <w:rPr>
          <w:lang w:val="pl-PL"/>
        </w:rPr>
        <w:t xml:space="preserve"> należy skontaktować się z lekarzem prowadzącym pod numerem podanym </w:t>
      </w:r>
      <w:r w:rsidR="00AB7CE5" w:rsidRPr="0002348C">
        <w:rPr>
          <w:lang w:val="pl-PL"/>
        </w:rPr>
        <w:t xml:space="preserve">u góry kwestionariusza. </w:t>
      </w:r>
      <w:r w:rsidRPr="0002348C">
        <w:rPr>
          <w:lang w:val="pl-PL"/>
        </w:rPr>
        <w:t xml:space="preserve">  </w:t>
      </w:r>
    </w:p>
    <w:p w14:paraId="663EF935" w14:textId="77777777" w:rsidR="00A1404B" w:rsidRPr="0002348C" w:rsidRDefault="00A1404B" w:rsidP="00A1404B">
      <w:pPr>
        <w:pStyle w:val="NoSpacing"/>
        <w:jc w:val="both"/>
        <w:rPr>
          <w:lang w:val="pl-PL"/>
        </w:rPr>
      </w:pPr>
    </w:p>
    <w:p w14:paraId="53199921" w14:textId="77777777" w:rsidR="00656BE9" w:rsidRPr="0002348C" w:rsidRDefault="00656BE9" w:rsidP="00013A28">
      <w:pPr>
        <w:pStyle w:val="NoSpacing"/>
        <w:jc w:val="both"/>
        <w:rPr>
          <w:lang w:val="pl-PL"/>
        </w:rPr>
      </w:pPr>
    </w:p>
    <w:p w14:paraId="1814561E" w14:textId="77777777" w:rsidR="00656BE9" w:rsidRPr="0002348C" w:rsidRDefault="00656BE9" w:rsidP="00013A28">
      <w:pPr>
        <w:pStyle w:val="NoSpacing"/>
        <w:jc w:val="both"/>
        <w:rPr>
          <w:lang w:val="pl-PL"/>
        </w:rPr>
      </w:pPr>
    </w:p>
    <w:p w14:paraId="362E683C" w14:textId="77777777" w:rsidR="00013A28" w:rsidRPr="0002348C" w:rsidRDefault="00013A28" w:rsidP="00013A28">
      <w:pPr>
        <w:pStyle w:val="NoSpacing"/>
        <w:jc w:val="both"/>
        <w:rPr>
          <w:lang w:val="pl-PL"/>
        </w:rPr>
      </w:pPr>
    </w:p>
    <w:p w14:paraId="03DE4C0E" w14:textId="77777777" w:rsidR="00A1404B" w:rsidRPr="0002348C" w:rsidRDefault="00A1404B" w:rsidP="00013A28">
      <w:pPr>
        <w:pStyle w:val="NoSpacing"/>
        <w:jc w:val="both"/>
        <w:rPr>
          <w:lang w:val="pl-PL"/>
        </w:rPr>
      </w:pPr>
    </w:p>
    <w:p w14:paraId="0218645F" w14:textId="77777777" w:rsidR="00A1404B" w:rsidRPr="0002348C" w:rsidRDefault="00A1404B" w:rsidP="00013A28">
      <w:pPr>
        <w:pStyle w:val="NoSpacing"/>
        <w:jc w:val="both"/>
        <w:rPr>
          <w:lang w:val="pl-PL"/>
        </w:rPr>
      </w:pPr>
    </w:p>
    <w:p w14:paraId="7CCF3539" w14:textId="77777777" w:rsidR="00A1404B" w:rsidRPr="0002348C" w:rsidRDefault="00A1404B" w:rsidP="00013A28">
      <w:pPr>
        <w:pStyle w:val="NoSpacing"/>
        <w:jc w:val="both"/>
        <w:rPr>
          <w:lang w:val="pl-PL"/>
        </w:rPr>
      </w:pPr>
    </w:p>
    <w:p w14:paraId="3FFEFA56" w14:textId="77777777" w:rsidR="00E71A67" w:rsidRPr="0002348C" w:rsidRDefault="00E71A67" w:rsidP="00E71A67">
      <w:pPr>
        <w:spacing w:after="120" w:line="288" w:lineRule="auto"/>
        <w:rPr>
          <w:rFonts w:asciiTheme="minorHAnsi" w:hAnsiTheme="minorHAnsi" w:cs="Arial"/>
          <w:lang w:val="pl-PL"/>
        </w:rPr>
      </w:pPr>
    </w:p>
    <w:p w14:paraId="6977FC93" w14:textId="77777777" w:rsidR="00E71A67" w:rsidRPr="0002348C" w:rsidRDefault="00E71A67" w:rsidP="00013A28">
      <w:pPr>
        <w:pStyle w:val="NoSpacing"/>
        <w:jc w:val="both"/>
        <w:rPr>
          <w:rFonts w:asciiTheme="minorHAnsi" w:hAnsiTheme="minorHAnsi"/>
          <w:lang w:val="pl-PL"/>
        </w:rPr>
      </w:pPr>
    </w:p>
    <w:sectPr w:rsidR="00E71A67" w:rsidRPr="0002348C" w:rsidSect="00885E9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C8B0" w14:textId="77777777" w:rsidR="00D26238" w:rsidRDefault="00D26238" w:rsidP="00A7374B">
      <w:pPr>
        <w:spacing w:after="0" w:line="240" w:lineRule="auto"/>
      </w:pPr>
      <w:r>
        <w:separator/>
      </w:r>
    </w:p>
  </w:endnote>
  <w:endnote w:type="continuationSeparator" w:id="0">
    <w:p w14:paraId="55D041D0" w14:textId="77777777" w:rsidR="00D26238" w:rsidRDefault="00D26238" w:rsidP="00A7374B">
      <w:pPr>
        <w:spacing w:after="0" w:line="240" w:lineRule="auto"/>
      </w:pPr>
      <w:r>
        <w:continuationSeparator/>
      </w:r>
    </w:p>
  </w:endnote>
  <w:endnote w:type="continuationNotice" w:id="1">
    <w:p w14:paraId="23EA88FC" w14:textId="77777777" w:rsidR="00D26238" w:rsidRDefault="00D26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39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EC9E6B" w14:textId="01550D36" w:rsidR="008370C7" w:rsidRDefault="008370C7" w:rsidP="003113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8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18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22E00" w14:textId="77777777" w:rsidR="00D26238" w:rsidRDefault="00D26238" w:rsidP="00A7374B">
      <w:pPr>
        <w:spacing w:after="0" w:line="240" w:lineRule="auto"/>
      </w:pPr>
      <w:r>
        <w:separator/>
      </w:r>
    </w:p>
  </w:footnote>
  <w:footnote w:type="continuationSeparator" w:id="0">
    <w:p w14:paraId="493D73FC" w14:textId="77777777" w:rsidR="00D26238" w:rsidRDefault="00D26238" w:rsidP="00A7374B">
      <w:pPr>
        <w:spacing w:after="0" w:line="240" w:lineRule="auto"/>
      </w:pPr>
      <w:r>
        <w:continuationSeparator/>
      </w:r>
    </w:p>
  </w:footnote>
  <w:footnote w:type="continuationNotice" w:id="1">
    <w:p w14:paraId="2A215097" w14:textId="77777777" w:rsidR="00D26238" w:rsidRDefault="00D262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47"/>
    </w:tblGrid>
    <w:tr w:rsidR="00A7788C" w:rsidRPr="009E4F8A" w14:paraId="68B5C7E2" w14:textId="77777777" w:rsidTr="00C83153">
      <w:trPr>
        <w:trHeight w:val="1129"/>
      </w:trPr>
      <w:tc>
        <w:tcPr>
          <w:tcW w:w="2336" w:type="dxa"/>
        </w:tcPr>
        <w:p w14:paraId="5EA9E578" w14:textId="05F2442F" w:rsidR="00A7374B" w:rsidRPr="00A7374B" w:rsidRDefault="00A7374B" w:rsidP="003F31C4">
          <w:pPr>
            <w:tabs>
              <w:tab w:val="center" w:pos="4513"/>
              <w:tab w:val="right" w:pos="9026"/>
            </w:tabs>
          </w:pPr>
          <w:r w:rsidRPr="00A7374B">
            <w:rPr>
              <w:noProof/>
              <w:lang w:eastAsia="en-GB"/>
            </w:rPr>
            <w:drawing>
              <wp:inline distT="0" distB="0" distL="0" distR="0" wp14:anchorId="79805CE3" wp14:editId="4C7857F1">
                <wp:extent cx="962025" cy="695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</w:tcPr>
        <w:p w14:paraId="36D52022" w14:textId="77777777" w:rsidR="00A7374B" w:rsidRPr="00A7374B" w:rsidRDefault="00A7788C" w:rsidP="00A7374B">
          <w:pPr>
            <w:tabs>
              <w:tab w:val="center" w:pos="4513"/>
              <w:tab w:val="right" w:pos="9026"/>
            </w:tabs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3FD28C8C" wp14:editId="0B66A217">
                <wp:extent cx="2019300" cy="7048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7" w:type="dxa"/>
        </w:tcPr>
        <w:p w14:paraId="461215D0" w14:textId="77777777" w:rsidR="00C83153" w:rsidRPr="006D4A8A" w:rsidRDefault="00A7374B" w:rsidP="00C83153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b/>
              <w:sz w:val="20"/>
              <w:szCs w:val="20"/>
            </w:rPr>
          </w:pPr>
          <w:r w:rsidRPr="006D4A8A">
            <w:rPr>
              <w:b/>
              <w:sz w:val="24"/>
              <w:szCs w:val="20"/>
            </w:rPr>
            <w:t>EVIS</w:t>
          </w:r>
        </w:p>
        <w:p w14:paraId="60FF6D86" w14:textId="0F21E648" w:rsidR="00A7374B" w:rsidRPr="006D4A8A" w:rsidRDefault="001F6DBD" w:rsidP="00C83153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b/>
              <w:sz w:val="20"/>
              <w:szCs w:val="20"/>
            </w:rPr>
          </w:pPr>
          <w:r w:rsidRPr="00A91837">
            <w:rPr>
              <w:b/>
              <w:sz w:val="18"/>
              <w:szCs w:val="18"/>
            </w:rPr>
            <w:t xml:space="preserve">Summary </w:t>
          </w:r>
          <w:r w:rsidR="00A7374B" w:rsidRPr="00A91837">
            <w:rPr>
              <w:b/>
              <w:sz w:val="18"/>
              <w:szCs w:val="18"/>
            </w:rPr>
            <w:t>PIS</w:t>
          </w:r>
          <w:r w:rsidR="001E4C15" w:rsidRPr="006D4A8A">
            <w:rPr>
              <w:sz w:val="18"/>
              <w:szCs w:val="18"/>
            </w:rPr>
            <w:t xml:space="preserve"> </w:t>
          </w:r>
          <w:r w:rsidR="00ED4738" w:rsidRPr="006D4A8A">
            <w:rPr>
              <w:b/>
              <w:sz w:val="18"/>
              <w:szCs w:val="18"/>
            </w:rPr>
            <w:t>V</w:t>
          </w:r>
          <w:r w:rsidR="008370C7">
            <w:rPr>
              <w:b/>
              <w:sz w:val="18"/>
              <w:szCs w:val="18"/>
            </w:rPr>
            <w:t>5</w:t>
          </w:r>
          <w:r w:rsidR="00ED4738" w:rsidRPr="006D4A8A">
            <w:rPr>
              <w:b/>
              <w:sz w:val="18"/>
              <w:szCs w:val="18"/>
            </w:rPr>
            <w:t xml:space="preserve">.0 </w:t>
          </w:r>
          <w:r w:rsidR="008370C7">
            <w:rPr>
              <w:b/>
              <w:sz w:val="18"/>
              <w:szCs w:val="18"/>
            </w:rPr>
            <w:t xml:space="preserve">9 </w:t>
          </w:r>
          <w:proofErr w:type="spellStart"/>
          <w:r w:rsidR="008370C7">
            <w:rPr>
              <w:b/>
              <w:sz w:val="18"/>
              <w:szCs w:val="18"/>
            </w:rPr>
            <w:t>stycznia</w:t>
          </w:r>
          <w:proofErr w:type="spellEnd"/>
          <w:r w:rsidR="008370C7">
            <w:rPr>
              <w:b/>
              <w:sz w:val="18"/>
              <w:szCs w:val="18"/>
            </w:rPr>
            <w:t xml:space="preserve"> 2025 r.</w:t>
          </w:r>
        </w:p>
        <w:p w14:paraId="42198951" w14:textId="7F09A1C0" w:rsidR="00A7374B" w:rsidRPr="006D4A8A" w:rsidRDefault="00A7374B" w:rsidP="00A7374B">
          <w:pPr>
            <w:tabs>
              <w:tab w:val="center" w:pos="4513"/>
              <w:tab w:val="right" w:pos="9026"/>
            </w:tabs>
            <w:jc w:val="right"/>
          </w:pPr>
          <w:r w:rsidRPr="006D4A8A">
            <w:rPr>
              <w:sz w:val="18"/>
              <w:szCs w:val="18"/>
            </w:rPr>
            <w:t>IRAS ID</w:t>
          </w:r>
          <w:r w:rsidR="003F31C4" w:rsidRPr="006D4A8A">
            <w:rPr>
              <w:sz w:val="18"/>
              <w:szCs w:val="18"/>
            </w:rPr>
            <w:t>: 3078</w:t>
          </w:r>
          <w:r w:rsidR="001F6DBD" w:rsidRPr="006D4A8A">
            <w:rPr>
              <w:sz w:val="18"/>
              <w:szCs w:val="18"/>
            </w:rPr>
            <w:t>62</w:t>
          </w:r>
        </w:p>
      </w:tc>
    </w:tr>
  </w:tbl>
  <w:p w14:paraId="20C212AE" w14:textId="77777777" w:rsidR="00A7374B" w:rsidRPr="006D4A8A" w:rsidRDefault="00A737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CDC"/>
    <w:multiLevelType w:val="hybridMultilevel"/>
    <w:tmpl w:val="04301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3BE6"/>
    <w:multiLevelType w:val="hybridMultilevel"/>
    <w:tmpl w:val="2D54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311D"/>
    <w:multiLevelType w:val="hybridMultilevel"/>
    <w:tmpl w:val="B6A4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47E37"/>
    <w:multiLevelType w:val="hybridMultilevel"/>
    <w:tmpl w:val="CD3C1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62048"/>
    <w:multiLevelType w:val="hybridMultilevel"/>
    <w:tmpl w:val="2DA2F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4D3F"/>
    <w:multiLevelType w:val="hybridMultilevel"/>
    <w:tmpl w:val="09429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B1D88"/>
    <w:multiLevelType w:val="hybridMultilevel"/>
    <w:tmpl w:val="3504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05C87"/>
    <w:multiLevelType w:val="hybridMultilevel"/>
    <w:tmpl w:val="DC66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00676"/>
    <w:multiLevelType w:val="hybridMultilevel"/>
    <w:tmpl w:val="229633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4B"/>
    <w:rsid w:val="00013A28"/>
    <w:rsid w:val="0002348C"/>
    <w:rsid w:val="00027216"/>
    <w:rsid w:val="00032B7C"/>
    <w:rsid w:val="000B2031"/>
    <w:rsid w:val="000C00F6"/>
    <w:rsid w:val="0011076F"/>
    <w:rsid w:val="0013617F"/>
    <w:rsid w:val="001375CC"/>
    <w:rsid w:val="00162638"/>
    <w:rsid w:val="001B4CC7"/>
    <w:rsid w:val="001E19C9"/>
    <w:rsid w:val="001E4C15"/>
    <w:rsid w:val="001F6DBD"/>
    <w:rsid w:val="00265C7A"/>
    <w:rsid w:val="00286D85"/>
    <w:rsid w:val="002B02EC"/>
    <w:rsid w:val="002C05BD"/>
    <w:rsid w:val="002C1CFD"/>
    <w:rsid w:val="003113CE"/>
    <w:rsid w:val="003A1E8F"/>
    <w:rsid w:val="003F31C4"/>
    <w:rsid w:val="00404773"/>
    <w:rsid w:val="004345F4"/>
    <w:rsid w:val="004A76F0"/>
    <w:rsid w:val="004D7E62"/>
    <w:rsid w:val="004E6040"/>
    <w:rsid w:val="005667B6"/>
    <w:rsid w:val="00595D31"/>
    <w:rsid w:val="005E3126"/>
    <w:rsid w:val="00653B1F"/>
    <w:rsid w:val="00656BE9"/>
    <w:rsid w:val="00680464"/>
    <w:rsid w:val="00680A13"/>
    <w:rsid w:val="006A126B"/>
    <w:rsid w:val="006D4A8A"/>
    <w:rsid w:val="0072326F"/>
    <w:rsid w:val="00737278"/>
    <w:rsid w:val="00756CEA"/>
    <w:rsid w:val="00757700"/>
    <w:rsid w:val="007D1B41"/>
    <w:rsid w:val="007E0B01"/>
    <w:rsid w:val="007E33CA"/>
    <w:rsid w:val="008222D1"/>
    <w:rsid w:val="008370C7"/>
    <w:rsid w:val="00885E96"/>
    <w:rsid w:val="008D4837"/>
    <w:rsid w:val="00917068"/>
    <w:rsid w:val="0093218E"/>
    <w:rsid w:val="00953E06"/>
    <w:rsid w:val="00971E9E"/>
    <w:rsid w:val="00972E17"/>
    <w:rsid w:val="00980792"/>
    <w:rsid w:val="009A0B02"/>
    <w:rsid w:val="009D0FFE"/>
    <w:rsid w:val="009D47C1"/>
    <w:rsid w:val="009E4F8A"/>
    <w:rsid w:val="00A1404B"/>
    <w:rsid w:val="00A14FD2"/>
    <w:rsid w:val="00A43AED"/>
    <w:rsid w:val="00A558E4"/>
    <w:rsid w:val="00A7374B"/>
    <w:rsid w:val="00A7788C"/>
    <w:rsid w:val="00A91837"/>
    <w:rsid w:val="00AB7CE5"/>
    <w:rsid w:val="00B27F10"/>
    <w:rsid w:val="00B45C11"/>
    <w:rsid w:val="00B83624"/>
    <w:rsid w:val="00B84298"/>
    <w:rsid w:val="00BC6734"/>
    <w:rsid w:val="00C0335D"/>
    <w:rsid w:val="00C13E9B"/>
    <w:rsid w:val="00C23E3B"/>
    <w:rsid w:val="00C463BD"/>
    <w:rsid w:val="00C63F2E"/>
    <w:rsid w:val="00C64276"/>
    <w:rsid w:val="00C66951"/>
    <w:rsid w:val="00C83153"/>
    <w:rsid w:val="00CC0758"/>
    <w:rsid w:val="00CF3587"/>
    <w:rsid w:val="00D04099"/>
    <w:rsid w:val="00D26238"/>
    <w:rsid w:val="00D31157"/>
    <w:rsid w:val="00D35DBE"/>
    <w:rsid w:val="00D658E9"/>
    <w:rsid w:val="00D77903"/>
    <w:rsid w:val="00D90B76"/>
    <w:rsid w:val="00DA29E9"/>
    <w:rsid w:val="00DA78ED"/>
    <w:rsid w:val="00DE4CA6"/>
    <w:rsid w:val="00E2178E"/>
    <w:rsid w:val="00E42B17"/>
    <w:rsid w:val="00E43B16"/>
    <w:rsid w:val="00E71A67"/>
    <w:rsid w:val="00E83CEF"/>
    <w:rsid w:val="00ED4738"/>
    <w:rsid w:val="00F34215"/>
    <w:rsid w:val="00F45C21"/>
    <w:rsid w:val="00FC1406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5D81B"/>
  <w15:docId w15:val="{E9A372E1-AD1D-44FC-ACBE-84EEE035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E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7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3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74B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7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63B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7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B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7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4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2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276"/>
    <w:rPr>
      <w:b/>
      <w:bCs/>
      <w:lang w:eastAsia="en-US"/>
    </w:rPr>
  </w:style>
  <w:style w:type="paragraph" w:styleId="Revision">
    <w:name w:val="Revision"/>
    <w:hidden/>
    <w:uiPriority w:val="99"/>
    <w:semiHidden/>
    <w:rsid w:val="00D040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85EE-0C38-4648-8521-8131A0BE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Dempster, Jill</dc:creator>
  <cp:lastModifiedBy>Greenwood, Hannah</cp:lastModifiedBy>
  <cp:revision>3</cp:revision>
  <dcterms:created xsi:type="dcterms:W3CDTF">2025-03-13T08:17:00Z</dcterms:created>
  <dcterms:modified xsi:type="dcterms:W3CDTF">2025-03-17T11:41:00Z</dcterms:modified>
</cp:coreProperties>
</file>